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68" w:rsidRDefault="00703343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195C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2881325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370868" w:rsidRDefault="00703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370868" w:rsidRDefault="0037086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370868" w:rsidRDefault="0070334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370868" w:rsidRDefault="0037086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370868" w:rsidRDefault="0070334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370868" w:rsidRDefault="0070334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l’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11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370868" w:rsidRDefault="0070334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370868" w:rsidRDefault="0070334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Parti di citare,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con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370868" w:rsidRDefault="0037086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70334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6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1985"/>
        <w:gridCol w:w="851"/>
      </w:tblGrid>
      <w:tr w:rsidR="00D35E78" w:rsidTr="00D35E78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 P.M.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693/15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912/17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757/15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</w:t>
            </w:r>
          </w:p>
        </w:tc>
      </w:tr>
    </w:tbl>
    <w:bookmarkEnd w:id="1"/>
    <w:p w:rsidR="00370868" w:rsidRDefault="00703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370868" w:rsidRDefault="0037086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0868" w:rsidRDefault="00703343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>PROCEDIMENTI CHE SARANNO RINVIATI CON PROVVEDIMENTO IN UDIENZA</w:t>
      </w:r>
    </w:p>
    <w:p w:rsidR="00370868" w:rsidRDefault="00703343">
      <w:pPr>
        <w:jc w:val="both"/>
      </w:pP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D35E78" w:rsidTr="00D35E78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 w:colFirst="1" w:colLast="3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</w:t>
            </w:r>
          </w:p>
        </w:tc>
      </w:tr>
      <w:tr w:rsidR="00D35E78" w:rsidTr="00D35E7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925/17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ore </w:t>
            </w:r>
            <w:r w:rsidR="00D35E78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885/14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1238/14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2045/11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383/13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868/15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FF64A6" w:rsidTr="001D313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A6" w:rsidRDefault="00FF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A6" w:rsidRDefault="00FF64A6" w:rsidP="00FF64A6">
            <w:pPr>
              <w:jc w:val="center"/>
            </w:pPr>
            <w:r w:rsidRPr="008B4D01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bookmarkEnd w:id="2"/>
      <w:tr w:rsidR="00D35E78" w:rsidTr="00D35E78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78" w:rsidRDefault="00D35E78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</w:tbl>
    <w:p w:rsidR="00370868" w:rsidRDefault="0037086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370868" w:rsidRDefault="0070334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05.06.2020</w:t>
      </w:r>
    </w:p>
    <w:p w:rsidR="00370868" w:rsidRDefault="007033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 w:rsidR="00D35E7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370868" w:rsidRDefault="00703343" w:rsidP="00D35E7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</w:t>
      </w:r>
      <w:r w:rsidR="00D35E78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</w:t>
      </w:r>
      <w:r>
        <w:rPr>
          <w:rFonts w:ascii="Times New Roman" w:eastAsia="Times New Roman" w:hAnsi="Times New Roman"/>
          <w:i/>
          <w:lang w:eastAsia="it-IT"/>
        </w:rPr>
        <w:t>Dott.ssa Marcella Pinna</w:t>
      </w:r>
    </w:p>
    <w:sectPr w:rsidR="00370868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43" w:rsidRDefault="00703343">
      <w:pPr>
        <w:spacing w:after="0" w:line="240" w:lineRule="auto"/>
      </w:pPr>
      <w:r>
        <w:separator/>
      </w:r>
    </w:p>
  </w:endnote>
  <w:endnote w:type="continuationSeparator" w:id="0">
    <w:p w:rsidR="00703343" w:rsidRDefault="0070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D3" w:rsidRDefault="007033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43" w:rsidRDefault="007033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3343" w:rsidRDefault="00703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868"/>
    <w:rsid w:val="00370868"/>
    <w:rsid w:val="00703343"/>
    <w:rsid w:val="00D35E78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11</TotalTime>
  <Pages>3</Pages>
  <Words>392</Words>
  <Characters>2236</Characters>
  <Application>Microsoft Office Word</Application>
  <DocSecurity>0</DocSecurity>
  <Lines>18</Lines>
  <Paragraphs>5</Paragraphs>
  <ScaleCrop>false</ScaleCrop>
  <Company>Ministero della Giustizia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2020-05-28T11:47:00Z</cp:lastPrinted>
  <dcterms:created xsi:type="dcterms:W3CDTF">2020-06-05T14:48:00Z</dcterms:created>
  <dcterms:modified xsi:type="dcterms:W3CDTF">2020-06-05T14:56:00Z</dcterms:modified>
</cp:coreProperties>
</file>